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judicial-da-comarca-de-lisboa"/>
    <w:p>
      <w:pPr>
        <w:pStyle w:val="Heading2"/>
      </w:pPr>
      <w:r>
        <w:t xml:space="preserve">Tribunal Judicial da Comarca de Lisboa</w:t>
      </w:r>
    </w:p>
    <w:bookmarkStart w:id="9" w:name="vara-da-família-e-dos-menores"/>
    <w:p>
      <w:pPr>
        <w:pStyle w:val="Heading3"/>
      </w:pPr>
      <w:r>
        <w:t xml:space="preserve">Vara da Família e dos Menores</w:t>
      </w:r>
    </w:p>
    <w:p>
      <w:pPr>
        <w:pStyle w:val="FirstParagraph"/>
      </w:pPr>
      <w:r>
        <w:rPr>
          <w:b/>
          <w:bCs/>
        </w:rPr>
        <w:t xml:space="preserve">Processo n.º 1234/2026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Maria da Conceição Silva, NIF 224 567 891, residente em Rua das Flores, 45, 1.º Esq., 1150‑123 Lisboa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José António Pereira, NIF 219 334 556, residente em Avenida da República, 210, 2.º Dto., 1050‑160 Lisboa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 Ana Sofia Martins, OAB/Lisboa 12345, com escritório em Rua da Prata, 12, 3.º Esq., 1200‑115 Lisboa</w:t>
      </w:r>
      <w:r>
        <w:br/>
      </w:r>
      <w:r>
        <w:t xml:space="preserve">- Dr. Luís Fernando Carvalho, OAB/Lisboa 67890, com escritório em Rua do Carmo, 8, 4.º Dir., 1100‑150 Lisboa</w:t>
      </w:r>
    </w:p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Juiz de Direito da Vara da Família e dos Menores da Comarca de Lisboa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20" w:name="contestação-defesa-do-réu"/>
    <w:p>
      <w:pPr>
        <w:pStyle w:val="Heading1"/>
      </w:pPr>
      <w:r>
        <w:rPr>
          <w:b/>
          <w:bCs/>
        </w:rPr>
        <w:t xml:space="preserve">Contestação – Defesa do Réu</w:t>
      </w:r>
    </w:p>
    <w:p>
      <w:pPr>
        <w:pStyle w:val="FirstParagraph"/>
      </w:pPr>
      <w:r>
        <w:t xml:space="preserve">Lisboa, 15 de fevereiro de 2026</w:t>
      </w:r>
    </w:p>
    <w:p>
      <w:pPr>
        <w:pStyle w:val="BodyText"/>
      </w:pPr>
      <w:r>
        <w:rPr>
          <w:b/>
          <w:bCs/>
        </w:rPr>
        <w:t xml:space="preserve">V. Exa.,</w:t>
      </w:r>
    </w:p>
    <w:p>
      <w:pPr>
        <w:pStyle w:val="BodyText"/>
      </w:pPr>
      <w:r>
        <w:t xml:space="preserve">José António Pereira, já qualificado nos autos, por seu advogado infra‑assinado, nos termos do artigo 562.º e seguintes do Código de Processo Civil, vem, respeitosamente, à presença de V. Exa., apresentar</w:t>
      </w:r>
      <w:r>
        <w:t xml:space="preserve"> </w:t>
      </w:r>
      <w:r>
        <w:rPr>
          <w:b/>
          <w:bCs/>
        </w:rPr>
        <w:t xml:space="preserve">CONTESTAÇÃO</w:t>
      </w:r>
      <w:r>
        <w:t xml:space="preserve"> </w:t>
      </w:r>
      <w:r>
        <w:t xml:space="preserve">à ação proposta por Maria da Conceção Silva, pelos factos e fundamentos de direito que passa a expor:</w:t>
      </w:r>
    </w:p>
    <w:p>
      <w:r>
        <w:pict>
          <v:rect style="width:0;height:1.5pt" o:hralign="center" o:hrstd="t" o:hr="t"/>
        </w:pict>
      </w:r>
    </w:p>
    <w:bookmarkStart w:id="11" w:name="i.-dos-factos"/>
    <w:p>
      <w:pPr>
        <w:pStyle w:val="Heading2"/>
      </w:pPr>
      <w:r>
        <w:t xml:space="preserve">I.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Residência Atual do Réu</w:t>
      </w:r>
      <w:r>
        <w:t xml:space="preserve"> </w:t>
      </w:r>
      <w:r>
        <w:t xml:space="preserve">– O réu continua a residir na mesma habitação em Lisboa, onde tem exercido a guarda partilhada da menor Ana Sofia Pereira desde o nascimento da criança, conforme comprovado pelos documentos de matrícula e pelos registos de residência (Anexo 1). Não houve qualquer mudança unilateral de residência para outra cidade, como alega a autora.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Cumprimento do Regime de Visitas</w:t>
      </w:r>
      <w:r>
        <w:t xml:space="preserve"> </w:t>
      </w:r>
      <w:r>
        <w:t xml:space="preserve">– O réu tem cumprido, pontualmente, o regime de visitas acordado em 12 de junho de 2022, que prevê visitas alternadas aos fins de semana e à tarde nas terças‑feiras. Eventuais atrasos foram motivados por impossibilidades justificadas (consultas médicas da menor) e devidamente comunicados à autora, conforme mensagens eletrónicas anexas (Anexo 2).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Situação Emocional da Menor</w:t>
      </w:r>
      <w:r>
        <w:t xml:space="preserve"> </w:t>
      </w:r>
      <w:r>
        <w:t xml:space="preserve">– Não há, nos autos, laudos médicos ou psicológicos que atestem instabilidade emocional da menor. Pelo contrário, o relatório psicopedagógico de 30 de setembro de 2025 (Anexo 3) indica que a criança apresenta desenvolvimento normal e adaptabilidade ao convívio com ambos os genitores.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Comunicação e Cooperação Parental</w:t>
      </w:r>
      <w:r>
        <w:t xml:space="preserve"> </w:t>
      </w:r>
      <w:r>
        <w:t xml:space="preserve">– O réu tem procurado, de forma contínua, manter um canal de comunicação aberto com a autora, tendo solicitado, em 5 de janeiro de 2026, a mediação familiar, proposta que foi recusada pela autora (Anexo 4).</w:t>
      </w:r>
    </w:p>
    <w:p>
      <w:r>
        <w:pict>
          <v:rect style="width:0;height:1.5pt" o:hralign="center" o:hrstd="t" o:hr="t"/>
        </w:pict>
      </w:r>
    </w:p>
    <w:bookmarkEnd w:id="11"/>
    <w:bookmarkStart w:id="15" w:name="ii.-da-impugnação-dos-pedidos-da-autora"/>
    <w:p>
      <w:pPr>
        <w:pStyle w:val="Heading2"/>
      </w:pPr>
      <w:r>
        <w:t xml:space="preserve">II. Da Impugnação dos Pedidos da Autora</w:t>
      </w:r>
    </w:p>
    <w:bookmarkStart w:id="12" w:name="do-pedido-de-alteração-da-guarda"/>
    <w:p>
      <w:pPr>
        <w:pStyle w:val="Heading3"/>
      </w:pPr>
      <w:r>
        <w:t xml:space="preserve">2.1.</w:t>
      </w:r>
      <w:r>
        <w:t xml:space="preserve"> </w:t>
      </w:r>
      <w:r>
        <w:rPr>
          <w:b/>
          <w:bCs/>
        </w:rPr>
        <w:t xml:space="preserve">Do Pedido de Alteração da Guarda</w:t>
      </w:r>
    </w:p>
    <w:p>
      <w:pPr>
        <w:pStyle w:val="FirstParagraph"/>
      </w:pPr>
      <w:r>
        <w:t xml:space="preserve">A autora requer a atribuição da guarda exclusiva a si, sob a alegação de que o réu teria mudado de residência e violado o regime de visitas. Tal pedido carece de fundamento factual e jurídico, pois: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1877.º do Código Civil</w:t>
      </w:r>
      <w:r>
        <w:t xml:space="preserve"> </w:t>
      </w:r>
      <w:r>
        <w:t xml:space="preserve">estabelece que a guarda partilhada é a regra, salvo prova de que a guarda unilateral seja indispensável ao melhor interesse da criança. Não há prova nos autos de que a guarda exclusiva seja necessária.</w:t>
      </w:r>
    </w:p>
    <w:p>
      <w:pPr>
        <w:pStyle w:val="Compact"/>
        <w:numPr>
          <w:ilvl w:val="0"/>
          <w:numId w:val="1002"/>
        </w:numPr>
      </w:pPr>
      <w:r>
        <w:t xml:space="preserve">O réu mantém residência estável em Lisboa, não havendo qualquer risco para a menor.</w:t>
      </w:r>
    </w:p>
    <w:bookmarkEnd w:id="12"/>
    <w:bookmarkStart w:id="13" w:name="do-pedido-de-visitas-supervisionadas"/>
    <w:p>
      <w:pPr>
        <w:pStyle w:val="Heading3"/>
      </w:pPr>
      <w:r>
        <w:t xml:space="preserve">2.2.</w:t>
      </w:r>
      <w:r>
        <w:t xml:space="preserve"> </w:t>
      </w:r>
      <w:r>
        <w:rPr>
          <w:b/>
          <w:bCs/>
        </w:rPr>
        <w:t xml:space="preserve">Do Pedido de Visitas Supervisionadas</w:t>
      </w:r>
    </w:p>
    <w:p>
      <w:pPr>
        <w:pStyle w:val="FirstParagraph"/>
      </w:pPr>
      <w:r>
        <w:t xml:space="preserve">A autora requer que as visitas do réu sejam realizadas sob supervisão. Este pedido é desproporcional e não encontra amparo no princípio da</w:t>
      </w:r>
      <w:r>
        <w:t xml:space="preserve"> </w:t>
      </w:r>
      <w:r>
        <w:rPr>
          <w:b/>
          <w:bCs/>
        </w:rPr>
        <w:t xml:space="preserve">“presunção de boa-fé parental”</w:t>
      </w:r>
      <w:r>
        <w:t xml:space="preserve"> </w:t>
      </w:r>
      <w:r>
        <w:t xml:space="preserve">(artigo 1875.º, n.º 1, do Código Civil). Não existem indícios de comportamento nocivo por parte do réu, nem relatórios de assistentes sociais que recomendem tal medida.</w:t>
      </w:r>
    </w:p>
    <w:bookmarkEnd w:id="13"/>
    <w:bookmarkStart w:id="14" w:name="do-pedido-de-fixação-de-pensão-alimentar"/>
    <w:p>
      <w:pPr>
        <w:pStyle w:val="Heading3"/>
      </w:pPr>
      <w:r>
        <w:t xml:space="preserve">2.3.</w:t>
      </w:r>
      <w:r>
        <w:t xml:space="preserve"> </w:t>
      </w:r>
      <w:r>
        <w:rPr>
          <w:b/>
          <w:bCs/>
        </w:rPr>
        <w:t xml:space="preserve">Do Pedido de Fixação de Pensão Alimentar</w:t>
      </w:r>
    </w:p>
    <w:p>
      <w:pPr>
        <w:pStyle w:val="FirstParagraph"/>
      </w:pPr>
      <w:r>
        <w:t xml:space="preserve">A autora pleiteia ainda a fixação de pensão alimentar no valor de € 450,00 mensais. O réu já contribui, de forma regular, com € 300,00 mensais, comprovados pelos recibos bancários (Anexo 5). O aumento pretendido não se justifica face à actual situação financeira do réu, comprovada pelo balancete de rendimentos de 2025 (Anexo 6).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iii.-do-direito"/>
    <w:p>
      <w:pPr>
        <w:pStyle w:val="Heading2"/>
      </w:pPr>
      <w:r>
        <w:t xml:space="preserve">III. Do Direito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Princípio do Melhor Interesse da Menor</w:t>
      </w:r>
      <w:r>
        <w:t xml:space="preserve"> </w:t>
      </w:r>
      <w:r>
        <w:t xml:space="preserve">– Conforme o artigo 1877.º, n.º 2, do Código Civil, a decisão deve centrar‑se no melhor interesse da criança, o que, no presente caso, é atendido pela guarda partilhada e pelo regime de visitas atualmente em vigor.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Ausência de Prova de Incumprimento</w:t>
      </w:r>
      <w:r>
        <w:t xml:space="preserve"> </w:t>
      </w:r>
      <w:r>
        <w:t xml:space="preserve">– Nos termos do artigo 562.º, n.º 1, alínea c) do CPC, a parte que alega incumprimento deve produzir prova. A autora não juntou qualquer documento que comprove a alegada mudança de residência ou o incumprimento do regime de visitas.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Proporcionalidade das Medidas</w:t>
      </w:r>
      <w:r>
        <w:t xml:space="preserve"> </w:t>
      </w:r>
      <w:r>
        <w:t xml:space="preserve">– O artigo 1875.º, n.º 2, do Código Civil impõe que as medidas de proteção da menor sejam proporcionais ao risco alegado. As visitas supervisionadas configuram medida excessiva, não justificada pelos factos.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Equilíbrio das Contribuições Alimentares</w:t>
      </w:r>
      <w:r>
        <w:t xml:space="preserve"> </w:t>
      </w:r>
      <w:r>
        <w:t xml:space="preserve">– O artigo 1913.º do Código Civil determina que a pensão alimentar seja fixada em conformidade com as necessidades da criança e as possibilidades do alimentante. O valor proposto pela autora ultrapassa as possibilidades reais do réu.</w:t>
      </w:r>
    </w:p>
    <w:p>
      <w:r>
        <w:pict>
          <v:rect style="width:0;height:1.5pt" o:hralign="center" o:hrstd="t" o:hr="t"/>
        </w:pict>
      </w:r>
    </w:p>
    <w:bookmarkEnd w:id="16"/>
    <w:bookmarkStart w:id="17" w:name="iv.-dos-pedidos"/>
    <w:p>
      <w:pPr>
        <w:pStyle w:val="Heading2"/>
      </w:pPr>
      <w:r>
        <w:t xml:space="preserve">IV. Dos Pedidos</w:t>
      </w:r>
    </w:p>
    <w:p>
      <w:pPr>
        <w:pStyle w:val="FirstParagraph"/>
      </w:pPr>
      <w:r>
        <w:t xml:space="preserve">Pelo exposto, o réu requer a V. Exa. que se digne a: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Improceder</w:t>
      </w:r>
      <w:r>
        <w:t xml:space="preserve"> </w:t>
      </w:r>
      <w:r>
        <w:t xml:space="preserve">integralmente os pedidos formulados pela autora, com a consequente</w:t>
      </w:r>
      <w:r>
        <w:t xml:space="preserve"> </w:t>
      </w:r>
      <w:r>
        <w:rPr>
          <w:b/>
          <w:bCs/>
        </w:rPr>
        <w:t xml:space="preserve">manutenção da guarda partilhada</w:t>
      </w:r>
      <w:r>
        <w:t xml:space="preserve"> </w:t>
      </w:r>
      <w:r>
        <w:t xml:space="preserve">e do regime de visitas estabelecido em 12 de junho de 2022;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Negar</w:t>
      </w:r>
      <w:r>
        <w:t xml:space="preserve"> </w:t>
      </w:r>
      <w:r>
        <w:t xml:space="preserve">o pedido de visitas supervisionadas, por carecer de fundamento factual e jurídico;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Manter</w:t>
      </w:r>
      <w:r>
        <w:t xml:space="preserve"> </w:t>
      </w:r>
      <w:r>
        <w:t xml:space="preserve">a pensão alimentar no valor de € 300,00 (trezentos euros) mensais, já regularmente paga, rejeitando o aumento pleiteado;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Condenar</w:t>
      </w:r>
      <w:r>
        <w:t xml:space="preserve"> </w:t>
      </w:r>
      <w:r>
        <w:t xml:space="preserve">a autora ao pagamento das custas processuais e dos honorários de advogado, nos termos do artigo 84.º do CPC;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Produzir</w:t>
      </w:r>
      <w:r>
        <w:t xml:space="preserve">, como prova, os documentos anexos a esta contestação (Anexos 1 a 6) e, caso necessário, requerer a oitiva de testemunhas (lista em anexo) e a prática de prova pericial psicológica à menor.</w:t>
      </w:r>
    </w:p>
    <w:p>
      <w:r>
        <w:pict>
          <v:rect style="width:0;height:1.5pt" o:hralign="center" o:hrstd="t" o:hr="t"/>
        </w:pict>
      </w:r>
    </w:p>
    <w:bookmarkEnd w:id="17"/>
    <w:bookmarkStart w:id="18" w:name="v.-rol-de-provas"/>
    <w:p>
      <w:pPr>
        <w:pStyle w:val="Heading2"/>
      </w:pPr>
      <w:r>
        <w:t xml:space="preserve">V. Rol de Provas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678"/>
        <w:gridCol w:w="3394"/>
        <w:gridCol w:w="2489"/>
        <w:gridCol w:w="135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Tipo de Prova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Documental</w:t>
            </w:r>
          </w:p>
        </w:tc>
        <w:tc>
          <w:tcPr/>
          <w:p>
            <w:pPr>
              <w:pStyle w:val="Compact"/>
            </w:pPr>
            <w:r>
              <w:t xml:space="preserve">Certidão de residência do réu</w:t>
            </w:r>
          </w:p>
        </w:tc>
        <w:tc>
          <w:tcPr/>
          <w:p>
            <w:pPr>
              <w:pStyle w:val="Compact"/>
            </w:pPr>
            <w:r>
              <w:t xml:space="preserve">10/01/2026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Documental</w:t>
            </w:r>
          </w:p>
        </w:tc>
        <w:tc>
          <w:tcPr/>
          <w:p>
            <w:pPr>
              <w:pStyle w:val="Compact"/>
            </w:pPr>
            <w:r>
              <w:t xml:space="preserve">Mensagens eletrónicas de comunicação entre as partes</w:t>
            </w:r>
          </w:p>
        </w:tc>
        <w:tc>
          <w:tcPr/>
          <w:p>
            <w:pPr>
              <w:pStyle w:val="Compact"/>
            </w:pPr>
            <w:r>
              <w:t xml:space="preserve">01/02/2026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Pericial</w:t>
            </w:r>
          </w:p>
        </w:tc>
        <w:tc>
          <w:tcPr/>
          <w:p>
            <w:pPr>
              <w:pStyle w:val="Compact"/>
            </w:pPr>
            <w:r>
              <w:t xml:space="preserve">Relatório psicopedagógico da menor – 30/09/2025</w:t>
            </w:r>
          </w:p>
        </w:tc>
        <w:tc>
          <w:tcPr/>
          <w:p>
            <w:pPr>
              <w:pStyle w:val="Compact"/>
            </w:pPr>
            <w:r>
              <w:t xml:space="preserve">30/09/2025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Documental</w:t>
            </w:r>
          </w:p>
        </w:tc>
        <w:tc>
          <w:tcPr/>
          <w:p>
            <w:pPr>
              <w:pStyle w:val="Compact"/>
            </w:pPr>
            <w:r>
              <w:t xml:space="preserve">Pedido de mediação familiar – 05/01/2026</w:t>
            </w:r>
          </w:p>
        </w:tc>
        <w:tc>
          <w:tcPr/>
          <w:p>
            <w:pPr>
              <w:pStyle w:val="Compact"/>
            </w:pPr>
            <w:r>
              <w:t xml:space="preserve">05/01/2026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Documental</w:t>
            </w:r>
          </w:p>
        </w:tc>
        <w:tc>
          <w:tcPr/>
          <w:p>
            <w:pPr>
              <w:pStyle w:val="Compact"/>
            </w:pPr>
            <w:r>
              <w:t xml:space="preserve">Recibos bancários de pagamento de pensão – Jan/2022 a Jan/2026</w:t>
            </w:r>
          </w:p>
        </w:tc>
        <w:tc>
          <w:tcPr/>
          <w:p>
            <w:pPr>
              <w:pStyle w:val="Compact"/>
            </w:pPr>
            <w:r>
              <w:t xml:space="preserve">Vários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Documental</w:t>
            </w:r>
          </w:p>
        </w:tc>
        <w:tc>
          <w:tcPr/>
          <w:p>
            <w:pPr>
              <w:pStyle w:val="Compact"/>
            </w:pPr>
            <w:r>
              <w:t xml:space="preserve">Balancete de rendimentos do réu – Exercício 2025</w:t>
            </w:r>
          </w:p>
        </w:tc>
        <w:tc>
          <w:tcPr/>
          <w:p>
            <w:pPr>
              <w:pStyle w:val="Compact"/>
            </w:pPr>
            <w:r>
              <w:t xml:space="preserve">20/12/2025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vi.-termos-finais"/>
    <w:p>
      <w:pPr>
        <w:pStyle w:val="Heading2"/>
      </w:pPr>
      <w:r>
        <w:t xml:space="preserve">VI. Termos Finais</w:t>
      </w:r>
    </w:p>
    <w:p>
      <w:pPr>
        <w:pStyle w:val="FirstParagraph"/>
      </w:pPr>
      <w:r>
        <w:t xml:space="preserve">Nestes termos, e nos melhores de direito, requer a V. Exa. que se digne a</w:t>
      </w:r>
      <w:r>
        <w:t xml:space="preserve"> </w:t>
      </w:r>
      <w:r>
        <w:rPr>
          <w:b/>
          <w:bCs/>
        </w:rPr>
        <w:t xml:space="preserve">julgar improcedentes</w:t>
      </w:r>
      <w:r>
        <w:t xml:space="preserve"> </w:t>
      </w:r>
      <w:r>
        <w:t xml:space="preserve">os pedidos da autora, nos termos dos pedidos constantes da presente contestação.</w:t>
      </w:r>
    </w:p>
    <w:p>
      <w:pPr>
        <w:pStyle w:val="BodyText"/>
      </w:pPr>
      <w:r>
        <w:t xml:space="preserve">Pede deferimento.</w:t>
      </w:r>
    </w:p>
    <w:p>
      <w:pPr>
        <w:pStyle w:val="BodyText"/>
      </w:pPr>
      <w:r>
        <w:t xml:space="preserve">Lisboa, 15 de fevereiro de 2026</w:t>
      </w:r>
    </w:p>
    <w:p>
      <w:pPr>
        <w:pStyle w:val="BodyText"/>
      </w:pPr>
      <w:r>
        <w:rPr>
          <w:b/>
          <w:bCs/>
        </w:rPr>
        <w:t xml:space="preserve">Dr. Ana Sofia Martins</w:t>
      </w:r>
      <w:r>
        <w:t xml:space="preserve"> </w:t>
      </w:r>
      <w:r>
        <w:t xml:space="preserve">– OAB/Lisboa 12345</w:t>
      </w:r>
      <w:r>
        <w:br/>
      </w:r>
      <w:r>
        <w:rPr>
          <w:b/>
          <w:bCs/>
        </w:rPr>
        <w:t xml:space="preserve">Dr. Luís Fernando Carvalho</w:t>
      </w:r>
      <w:r>
        <w:t xml:space="preserve"> </w:t>
      </w:r>
      <w:r>
        <w:t xml:space="preserve">– OAB/Lisboa 67890</w:t>
      </w:r>
    </w:p>
    <w:p>
      <w:pPr>
        <w:pStyle w:val="BodyText"/>
      </w:pPr>
      <w:r>
        <w:rPr>
          <w:i/>
          <w:iCs/>
        </w:rPr>
        <w:t xml:space="preserve">Advogados do Réu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Anexos:</w:t>
      </w:r>
    </w:p>
    <w:p>
      <w:pPr>
        <w:pStyle w:val="Compact"/>
        <w:numPr>
          <w:ilvl w:val="0"/>
          <w:numId w:val="1005"/>
        </w:numPr>
      </w:pPr>
      <w:r>
        <w:t xml:space="preserve">Certidão de residência do réu;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Cópia das mensagens eletrónicas;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Relatório psicopedagógico da menor;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Pedido de mediação familiar;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Recibos bancários de pensão;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Balancete de rendimentos 2025.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